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1811F" w14:textId="0D9FBC2A" w:rsidR="00234786" w:rsidRPr="00F50228" w:rsidRDefault="00936927" w:rsidP="00F50228">
      <w:pPr>
        <w:jc w:val="center"/>
        <w:rPr>
          <w:rFonts w:ascii="Times New Roman" w:hAnsi="Times New Roman" w:cs="Times New Roman"/>
          <w:b/>
          <w:bCs/>
          <w:u w:val="single"/>
        </w:rPr>
      </w:pPr>
      <w:r w:rsidRPr="00F50228">
        <w:rPr>
          <w:rFonts w:ascii="Times New Roman" w:hAnsi="Times New Roman" w:cs="Times New Roman"/>
          <w:b/>
          <w:bCs/>
          <w:u w:val="single"/>
        </w:rPr>
        <w:t>S.21/A.21 “New Jersey Cannabis Regulatory, Enforcement Assistance, and Marketplace Modernization Act”:</w:t>
      </w:r>
    </w:p>
    <w:p w14:paraId="0136CB99" w14:textId="5FC42711" w:rsidR="00936927" w:rsidRPr="00F50228" w:rsidRDefault="00936927">
      <w:pPr>
        <w:rPr>
          <w:rFonts w:ascii="Times New Roman" w:hAnsi="Times New Roman" w:cs="Times New Roman"/>
          <w:b/>
          <w:bCs/>
          <w:u w:val="single"/>
        </w:rPr>
      </w:pPr>
    </w:p>
    <w:p w14:paraId="2BBBAF6D" w14:textId="77777777" w:rsidR="00F532AC" w:rsidRPr="007B6FF3" w:rsidRDefault="00F532AC" w:rsidP="00F532AC">
      <w:pPr>
        <w:rPr>
          <w:rFonts w:ascii="Times New Roman" w:eastAsia="Times New Roman" w:hAnsi="Times New Roman" w:cs="Times New Roman"/>
        </w:rPr>
      </w:pPr>
      <w:r w:rsidRPr="007B6FF3">
        <w:rPr>
          <w:rFonts w:ascii="Times New Roman" w:eastAsia="Times New Roman" w:hAnsi="Times New Roman" w:cs="Times New Roman"/>
        </w:rPr>
        <w:t>The state Assembly voted 49-24 with six abstentions to pass the bill (</w:t>
      </w:r>
      <w:hyperlink r:id="rId5" w:tgtFrame="_blank" w:history="1">
        <w:r w:rsidRPr="007B6FF3">
          <w:rPr>
            <w:rFonts w:ascii="Times New Roman" w:eastAsia="Times New Roman" w:hAnsi="Times New Roman" w:cs="Times New Roman"/>
            <w:color w:val="0000FF"/>
            <w:u w:val="single"/>
          </w:rPr>
          <w:t>S21</w:t>
        </w:r>
      </w:hyperlink>
      <w:r w:rsidRPr="007B6FF3">
        <w:rPr>
          <w:rFonts w:ascii="Times New Roman" w:eastAsia="Times New Roman" w:hAnsi="Times New Roman" w:cs="Times New Roman"/>
        </w:rPr>
        <w:t>), and the Senate followed later Thursday, passing it 23-17.</w:t>
      </w:r>
      <w:r w:rsidRPr="00F50228">
        <w:rPr>
          <w:rFonts w:ascii="Times New Roman" w:eastAsia="Times New Roman" w:hAnsi="Times New Roman" w:cs="Times New Roman"/>
        </w:rPr>
        <w:t xml:space="preserve"> </w:t>
      </w:r>
      <w:r w:rsidRPr="007B6FF3">
        <w:rPr>
          <w:rFonts w:ascii="Times New Roman" w:eastAsia="Times New Roman" w:hAnsi="Times New Roman" w:cs="Times New Roman"/>
        </w:rPr>
        <w:t>The bill now goes to Gov.</w:t>
      </w:r>
      <w:r w:rsidRPr="00F50228">
        <w:rPr>
          <w:rFonts w:ascii="Times New Roman" w:eastAsia="Times New Roman" w:hAnsi="Times New Roman" w:cs="Times New Roman"/>
          <w:color w:val="0000FF"/>
        </w:rPr>
        <w:t xml:space="preserve"> </w:t>
      </w:r>
      <w:r w:rsidRPr="007B6FF3">
        <w:rPr>
          <w:rFonts w:ascii="Times New Roman" w:eastAsia="Times New Roman" w:hAnsi="Times New Roman" w:cs="Times New Roman"/>
          <w:color w:val="000000" w:themeColor="text1"/>
        </w:rPr>
        <w:t xml:space="preserve">Phil Murphy’s </w:t>
      </w:r>
      <w:r w:rsidRPr="007B6FF3">
        <w:rPr>
          <w:rFonts w:ascii="Times New Roman" w:eastAsia="Times New Roman" w:hAnsi="Times New Roman" w:cs="Times New Roman"/>
        </w:rPr>
        <w:t>desk, who must sign the measure for it to become law.</w:t>
      </w:r>
    </w:p>
    <w:p w14:paraId="546E6F96" w14:textId="77777777" w:rsidR="00F532AC" w:rsidRPr="00F50228" w:rsidRDefault="00F532AC">
      <w:pPr>
        <w:rPr>
          <w:rFonts w:ascii="Times New Roman" w:hAnsi="Times New Roman" w:cs="Times New Roman"/>
          <w:b/>
          <w:bCs/>
          <w:u w:val="single"/>
        </w:rPr>
      </w:pPr>
    </w:p>
    <w:p w14:paraId="440248A3" w14:textId="23D2D188" w:rsidR="00936927" w:rsidRPr="00F50228" w:rsidRDefault="00936927">
      <w:pPr>
        <w:rPr>
          <w:rFonts w:ascii="Times New Roman" w:hAnsi="Times New Roman" w:cs="Times New Roman"/>
          <w:b/>
          <w:bCs/>
          <w:u w:val="single"/>
        </w:rPr>
      </w:pPr>
      <w:r w:rsidRPr="00F50228">
        <w:rPr>
          <w:rFonts w:ascii="Times New Roman" w:hAnsi="Times New Roman" w:cs="Times New Roman"/>
          <w:b/>
          <w:bCs/>
          <w:u w:val="single"/>
        </w:rPr>
        <w:t>Key Takeaways:</w:t>
      </w:r>
    </w:p>
    <w:p w14:paraId="69BD2565" w14:textId="18508F7A" w:rsidR="00936927" w:rsidRPr="00F50228" w:rsidRDefault="00936927">
      <w:pPr>
        <w:rPr>
          <w:rFonts w:ascii="Times New Roman" w:hAnsi="Times New Roman" w:cs="Times New Roman"/>
          <w:b/>
          <w:bCs/>
          <w:u w:val="single"/>
        </w:rPr>
      </w:pPr>
    </w:p>
    <w:p w14:paraId="195339E6" w14:textId="1ED06AC1" w:rsidR="00936927" w:rsidRPr="00F50228" w:rsidRDefault="00936927" w:rsidP="00936927">
      <w:pPr>
        <w:pStyle w:val="ListParagraph"/>
        <w:numPr>
          <w:ilvl w:val="0"/>
          <w:numId w:val="1"/>
        </w:numPr>
        <w:rPr>
          <w:rFonts w:ascii="Times New Roman" w:hAnsi="Times New Roman" w:cs="Times New Roman"/>
          <w:b/>
          <w:bCs/>
        </w:rPr>
      </w:pPr>
      <w:r w:rsidRPr="00F50228">
        <w:rPr>
          <w:rFonts w:ascii="Times New Roman" w:hAnsi="Times New Roman" w:cs="Times New Roman"/>
          <w:b/>
          <w:bCs/>
        </w:rPr>
        <w:t>Licensing</w:t>
      </w:r>
    </w:p>
    <w:p w14:paraId="7F14479F" w14:textId="085E001A" w:rsidR="0094498B" w:rsidRPr="00F50228" w:rsidRDefault="0094498B" w:rsidP="0094498B">
      <w:pPr>
        <w:pStyle w:val="ListParagraph"/>
        <w:numPr>
          <w:ilvl w:val="1"/>
          <w:numId w:val="1"/>
        </w:numPr>
        <w:rPr>
          <w:rFonts w:ascii="Times New Roman" w:hAnsi="Times New Roman" w:cs="Times New Roman"/>
        </w:rPr>
      </w:pPr>
      <w:r w:rsidRPr="00F50228">
        <w:rPr>
          <w:rFonts w:ascii="Times New Roman" w:hAnsi="Times New Roman" w:cs="Times New Roman"/>
        </w:rPr>
        <w:t xml:space="preserve">The bill establishes six classes of licensed </w:t>
      </w:r>
      <w:r w:rsidR="00EA2EF2" w:rsidRPr="00F50228">
        <w:rPr>
          <w:rFonts w:ascii="Times New Roman" w:hAnsi="Times New Roman" w:cs="Times New Roman"/>
        </w:rPr>
        <w:t xml:space="preserve">cannabis </w:t>
      </w:r>
      <w:r w:rsidRPr="00F50228">
        <w:rPr>
          <w:rFonts w:ascii="Times New Roman" w:hAnsi="Times New Roman" w:cs="Times New Roman"/>
        </w:rPr>
        <w:t>businesses: cultivator, manufacturer, wholesaler, distributor, retailer and delivery.</w:t>
      </w:r>
    </w:p>
    <w:p w14:paraId="6EFADF3B" w14:textId="722168C4" w:rsidR="00EA2EF2" w:rsidRPr="00F50228" w:rsidRDefault="00EA2EF2" w:rsidP="00EA2EF2">
      <w:pPr>
        <w:pStyle w:val="ListParagraph"/>
        <w:numPr>
          <w:ilvl w:val="1"/>
          <w:numId w:val="1"/>
        </w:numPr>
        <w:rPr>
          <w:rFonts w:ascii="Times New Roman" w:hAnsi="Times New Roman" w:cs="Times New Roman"/>
        </w:rPr>
      </w:pPr>
      <w:r w:rsidRPr="00F50228">
        <w:rPr>
          <w:rFonts w:ascii="Times New Roman" w:hAnsi="Times New Roman" w:cs="Times New Roman"/>
        </w:rPr>
        <w:t xml:space="preserve">The Cannabis Regulatory Commission (CRC) would determine the maximum number of licenses for each class based on market demand and would be authorized to accept new license applications to meet increasing demand. </w:t>
      </w:r>
    </w:p>
    <w:p w14:paraId="480C9632" w14:textId="368387BB" w:rsidR="0094498B" w:rsidRPr="00F50228" w:rsidRDefault="0094498B" w:rsidP="0094498B">
      <w:pPr>
        <w:pStyle w:val="ListParagraph"/>
        <w:numPr>
          <w:ilvl w:val="1"/>
          <w:numId w:val="1"/>
        </w:numPr>
        <w:rPr>
          <w:rFonts w:ascii="Times New Roman" w:hAnsi="Times New Roman" w:cs="Times New Roman"/>
        </w:rPr>
      </w:pPr>
      <w:r w:rsidRPr="00F50228">
        <w:rPr>
          <w:rFonts w:ascii="Times New Roman" w:hAnsi="Times New Roman" w:cs="Times New Roman"/>
        </w:rPr>
        <w:t xml:space="preserve">The 12 licensed medical </w:t>
      </w:r>
      <w:r w:rsidR="00EA2EF2" w:rsidRPr="00F50228">
        <w:rPr>
          <w:rFonts w:ascii="Times New Roman" w:hAnsi="Times New Roman" w:cs="Times New Roman"/>
        </w:rPr>
        <w:t>cannabis</w:t>
      </w:r>
      <w:r w:rsidRPr="00F50228">
        <w:rPr>
          <w:rFonts w:ascii="Times New Roman" w:hAnsi="Times New Roman" w:cs="Times New Roman"/>
        </w:rPr>
        <w:t xml:space="preserve"> operators </w:t>
      </w:r>
      <w:r w:rsidR="00EA2EF2" w:rsidRPr="00F50228">
        <w:rPr>
          <w:rFonts w:ascii="Times New Roman" w:hAnsi="Times New Roman" w:cs="Times New Roman"/>
        </w:rPr>
        <w:t>are</w:t>
      </w:r>
      <w:r w:rsidRPr="00F50228">
        <w:rPr>
          <w:rFonts w:ascii="Times New Roman" w:hAnsi="Times New Roman" w:cs="Times New Roman"/>
        </w:rPr>
        <w:t xml:space="preserve"> permitted to get an adult-use license. </w:t>
      </w:r>
    </w:p>
    <w:p w14:paraId="25EAEAAF" w14:textId="5A0AA79A" w:rsidR="0094498B" w:rsidRPr="00F50228" w:rsidRDefault="0094498B" w:rsidP="0094498B">
      <w:pPr>
        <w:pStyle w:val="ListParagraph"/>
        <w:numPr>
          <w:ilvl w:val="1"/>
          <w:numId w:val="1"/>
        </w:numPr>
        <w:rPr>
          <w:rFonts w:ascii="Times New Roman" w:hAnsi="Times New Roman" w:cs="Times New Roman"/>
        </w:rPr>
      </w:pPr>
      <w:r w:rsidRPr="00F50228">
        <w:rPr>
          <w:rFonts w:ascii="Times New Roman" w:hAnsi="Times New Roman" w:cs="Times New Roman"/>
        </w:rPr>
        <w:t xml:space="preserve">Cultivation licenses would be capped at 37 for the initial 24 months. The limit </w:t>
      </w:r>
      <w:r w:rsidR="00EA2EF2" w:rsidRPr="00F50228">
        <w:rPr>
          <w:rFonts w:ascii="Times New Roman" w:hAnsi="Times New Roman" w:cs="Times New Roman"/>
        </w:rPr>
        <w:t>does</w:t>
      </w:r>
      <w:r w:rsidRPr="00F50228">
        <w:rPr>
          <w:rFonts w:ascii="Times New Roman" w:hAnsi="Times New Roman" w:cs="Times New Roman"/>
        </w:rPr>
        <w:t>n’t apply to licenses issued to microbusinesses, which are firms of no more than 10 employees and 2,500 square feet of canopy growing space.</w:t>
      </w:r>
    </w:p>
    <w:p w14:paraId="7A0D87BF" w14:textId="00022D85" w:rsidR="0094498B" w:rsidRPr="00F50228" w:rsidRDefault="00EA2EF2" w:rsidP="00EA2EF2">
      <w:pPr>
        <w:pStyle w:val="ListParagraph"/>
        <w:numPr>
          <w:ilvl w:val="1"/>
          <w:numId w:val="1"/>
        </w:numPr>
        <w:rPr>
          <w:rFonts w:ascii="Times New Roman" w:hAnsi="Times New Roman" w:cs="Times New Roman"/>
        </w:rPr>
      </w:pPr>
      <w:r w:rsidRPr="00F50228">
        <w:rPr>
          <w:rFonts w:ascii="Times New Roman" w:hAnsi="Times New Roman" w:cs="Times New Roman"/>
        </w:rPr>
        <w:t>D</w:t>
      </w:r>
      <w:r w:rsidR="0094498B" w:rsidRPr="00F50228">
        <w:rPr>
          <w:rFonts w:ascii="Times New Roman" w:hAnsi="Times New Roman" w:cs="Times New Roman"/>
        </w:rPr>
        <w:t xml:space="preserve">uring </w:t>
      </w:r>
      <w:r w:rsidRPr="00F50228">
        <w:rPr>
          <w:rFonts w:ascii="Times New Roman" w:hAnsi="Times New Roman" w:cs="Times New Roman"/>
        </w:rPr>
        <w:t>the</w:t>
      </w:r>
      <w:r w:rsidR="0094498B" w:rsidRPr="00F50228">
        <w:rPr>
          <w:rFonts w:ascii="Times New Roman" w:hAnsi="Times New Roman" w:cs="Times New Roman"/>
        </w:rPr>
        <w:t xml:space="preserve"> initial 24-month period following the bill’s enactment, there </w:t>
      </w:r>
      <w:r w:rsidRPr="00F50228">
        <w:rPr>
          <w:rFonts w:ascii="Times New Roman" w:hAnsi="Times New Roman" w:cs="Times New Roman"/>
        </w:rPr>
        <w:t xml:space="preserve">is </w:t>
      </w:r>
      <w:r w:rsidR="0094498B" w:rsidRPr="00F50228">
        <w:rPr>
          <w:rFonts w:ascii="Times New Roman" w:hAnsi="Times New Roman" w:cs="Times New Roman"/>
        </w:rPr>
        <w:t xml:space="preserve">a limitation on the number and classes of licenses any one licensee could hold. During this time, </w:t>
      </w:r>
      <w:r w:rsidRPr="00F50228">
        <w:rPr>
          <w:rFonts w:ascii="Times New Roman" w:hAnsi="Times New Roman" w:cs="Times New Roman"/>
        </w:rPr>
        <w:t>the commission will not</w:t>
      </w:r>
      <w:r w:rsidR="0094498B" w:rsidRPr="00F50228">
        <w:rPr>
          <w:rFonts w:ascii="Times New Roman" w:hAnsi="Times New Roman" w:cs="Times New Roman"/>
        </w:rPr>
        <w:t xml:space="preserve"> permit a licensed cultivator, manufacturer, wholesaler, distributor, or delivery service to also be a licensed retailer, and vice versa, plus a cultivator or manufacturer could only concurrently hold two licenses (either another cultivator or manufacturer license), and a wholesaler could hold one other distributor license; these restrictions </w:t>
      </w:r>
      <w:r w:rsidRPr="00F50228">
        <w:rPr>
          <w:rFonts w:ascii="Times New Roman" w:hAnsi="Times New Roman" w:cs="Times New Roman"/>
        </w:rPr>
        <w:t xml:space="preserve">do </w:t>
      </w:r>
      <w:r w:rsidR="0094498B" w:rsidRPr="00F50228">
        <w:rPr>
          <w:rFonts w:ascii="Times New Roman" w:hAnsi="Times New Roman" w:cs="Times New Roman"/>
        </w:rPr>
        <w:t>not apply to a medical alternative treatment center deemed to concurrently possess one of each type of cannabis license class.</w:t>
      </w:r>
    </w:p>
    <w:p w14:paraId="2047DFDC" w14:textId="06BD25F3" w:rsidR="00F532AC" w:rsidRPr="00F50228" w:rsidRDefault="00F532AC" w:rsidP="00F532AC">
      <w:pPr>
        <w:pStyle w:val="ListParagraph"/>
        <w:numPr>
          <w:ilvl w:val="1"/>
          <w:numId w:val="1"/>
        </w:numPr>
        <w:rPr>
          <w:rFonts w:ascii="Times New Roman" w:hAnsi="Times New Roman" w:cs="Times New Roman"/>
        </w:rPr>
      </w:pPr>
      <w:r w:rsidRPr="00F50228">
        <w:rPr>
          <w:rFonts w:ascii="Times New Roman" w:hAnsi="Times New Roman" w:cs="Times New Roman"/>
        </w:rPr>
        <w:t xml:space="preserve">At least 10 percent of the total licenses issued for each license class, and at least 25 percent of the overall total number of licenses issued </w:t>
      </w:r>
      <w:r w:rsidR="00EA2EF2" w:rsidRPr="00F50228">
        <w:rPr>
          <w:rFonts w:ascii="Times New Roman" w:hAnsi="Times New Roman" w:cs="Times New Roman"/>
        </w:rPr>
        <w:t>are to</w:t>
      </w:r>
      <w:r w:rsidRPr="00F50228">
        <w:rPr>
          <w:rFonts w:ascii="Times New Roman" w:hAnsi="Times New Roman" w:cs="Times New Roman"/>
        </w:rPr>
        <w:t xml:space="preserve"> be designated for and only issued to microbusinesses.</w:t>
      </w:r>
    </w:p>
    <w:p w14:paraId="0BD2C8F8" w14:textId="77777777" w:rsidR="00F532AC" w:rsidRPr="00F50228" w:rsidRDefault="00F532AC" w:rsidP="00F532AC">
      <w:pPr>
        <w:pStyle w:val="ListParagraph"/>
        <w:numPr>
          <w:ilvl w:val="1"/>
          <w:numId w:val="1"/>
        </w:numPr>
        <w:rPr>
          <w:rFonts w:ascii="Times New Roman" w:hAnsi="Times New Roman" w:cs="Times New Roman"/>
        </w:rPr>
      </w:pPr>
      <w:r w:rsidRPr="00F50228">
        <w:rPr>
          <w:rFonts w:ascii="Times New Roman" w:hAnsi="Times New Roman" w:cs="Times New Roman"/>
        </w:rPr>
        <w:t>At least 35 percent of the total licenses issued for each class are required to be conditional licenses. For purposes of calculating the 35 percent figure for conditional licenses, the figure would include any conditional license issued to an applicant that was subsequently replaced with a full, annual license.</w:t>
      </w:r>
    </w:p>
    <w:p w14:paraId="0976076E" w14:textId="77777777" w:rsidR="00EA2EF2" w:rsidRPr="00F50228" w:rsidRDefault="00F532AC" w:rsidP="00F532AC">
      <w:pPr>
        <w:pStyle w:val="ListParagraph"/>
        <w:numPr>
          <w:ilvl w:val="1"/>
          <w:numId w:val="1"/>
        </w:numPr>
        <w:rPr>
          <w:rFonts w:ascii="Times New Roman" w:hAnsi="Times New Roman" w:cs="Times New Roman"/>
        </w:rPr>
      </w:pPr>
      <w:r w:rsidRPr="00F50228">
        <w:rPr>
          <w:rFonts w:ascii="Times New Roman" w:hAnsi="Times New Roman" w:cs="Times New Roman"/>
        </w:rPr>
        <w:t xml:space="preserve">The CRC </w:t>
      </w:r>
      <w:r w:rsidR="00EA2EF2" w:rsidRPr="00F50228">
        <w:rPr>
          <w:rFonts w:ascii="Times New Roman" w:hAnsi="Times New Roman" w:cs="Times New Roman"/>
        </w:rPr>
        <w:t>is to</w:t>
      </w:r>
      <w:r w:rsidRPr="00F50228">
        <w:rPr>
          <w:rFonts w:ascii="Times New Roman" w:hAnsi="Times New Roman" w:cs="Times New Roman"/>
        </w:rPr>
        <w:t xml:space="preserve"> determine an application points system based on criteria such as an applicant’s operating, environmental and safety and security plans. This point system c</w:t>
      </w:r>
      <w:r w:rsidR="00EA2EF2" w:rsidRPr="00F50228">
        <w:rPr>
          <w:rFonts w:ascii="Times New Roman" w:hAnsi="Times New Roman" w:cs="Times New Roman"/>
        </w:rPr>
        <w:t>an</w:t>
      </w:r>
      <w:r w:rsidRPr="00F50228">
        <w:rPr>
          <w:rFonts w:ascii="Times New Roman" w:hAnsi="Times New Roman" w:cs="Times New Roman"/>
        </w:rPr>
        <w:t xml:space="preserve"> be adjusted, or a separate point system used for any application for which a conditional license is sought, or a microbusiness license is sought</w:t>
      </w:r>
      <w:r w:rsidR="00EA2EF2" w:rsidRPr="00F50228">
        <w:rPr>
          <w:rFonts w:ascii="Times New Roman" w:hAnsi="Times New Roman" w:cs="Times New Roman"/>
        </w:rPr>
        <w:t xml:space="preserve">. </w:t>
      </w:r>
    </w:p>
    <w:p w14:paraId="04542E24" w14:textId="2DA88A98" w:rsidR="00F532AC" w:rsidRPr="00F50228" w:rsidRDefault="00F532AC" w:rsidP="00F532AC">
      <w:pPr>
        <w:pStyle w:val="ListParagraph"/>
        <w:numPr>
          <w:ilvl w:val="1"/>
          <w:numId w:val="1"/>
        </w:numPr>
        <w:rPr>
          <w:rFonts w:ascii="Times New Roman" w:hAnsi="Times New Roman" w:cs="Times New Roman"/>
        </w:rPr>
      </w:pPr>
      <w:r w:rsidRPr="00F50228">
        <w:rPr>
          <w:rFonts w:ascii="Times New Roman" w:hAnsi="Times New Roman" w:cs="Times New Roman"/>
        </w:rPr>
        <w:t>Further, in ranking applications, in addition to the awarding of points, the commission w</w:t>
      </w:r>
      <w:r w:rsidR="0027584D" w:rsidRPr="00F50228">
        <w:rPr>
          <w:rFonts w:ascii="Times New Roman" w:hAnsi="Times New Roman" w:cs="Times New Roman"/>
        </w:rPr>
        <w:t>ill</w:t>
      </w:r>
      <w:r w:rsidRPr="00F50228">
        <w:rPr>
          <w:rFonts w:ascii="Times New Roman" w:hAnsi="Times New Roman" w:cs="Times New Roman"/>
        </w:rPr>
        <w:t xml:space="preserve"> prioritize applications for licensure using several other factors. </w:t>
      </w:r>
    </w:p>
    <w:p w14:paraId="2C7ABF4F" w14:textId="77777777" w:rsidR="00F532AC" w:rsidRPr="00F50228" w:rsidRDefault="00F532AC" w:rsidP="00EA2EF2">
      <w:pPr>
        <w:pStyle w:val="ListParagraph"/>
        <w:numPr>
          <w:ilvl w:val="2"/>
          <w:numId w:val="1"/>
        </w:numPr>
        <w:rPr>
          <w:rFonts w:ascii="Times New Roman" w:hAnsi="Times New Roman" w:cs="Times New Roman"/>
        </w:rPr>
      </w:pPr>
      <w:r w:rsidRPr="00F50228">
        <w:rPr>
          <w:rFonts w:ascii="Times New Roman" w:hAnsi="Times New Roman" w:cs="Times New Roman"/>
        </w:rPr>
        <w:t>Priority consideration will be given to certified minority, woman and disabled veteran owned businesses.</w:t>
      </w:r>
    </w:p>
    <w:p w14:paraId="7C09F992" w14:textId="003CC755" w:rsidR="00F532AC" w:rsidRPr="00F50228" w:rsidRDefault="0027584D" w:rsidP="00EA2EF2">
      <w:pPr>
        <w:pStyle w:val="ListParagraph"/>
        <w:numPr>
          <w:ilvl w:val="2"/>
          <w:numId w:val="1"/>
        </w:numPr>
        <w:rPr>
          <w:rFonts w:ascii="Times New Roman" w:hAnsi="Times New Roman" w:cs="Times New Roman"/>
        </w:rPr>
      </w:pPr>
      <w:r w:rsidRPr="00F50228">
        <w:rPr>
          <w:rFonts w:ascii="Times New Roman" w:hAnsi="Times New Roman" w:cs="Times New Roman"/>
        </w:rPr>
        <w:t>P</w:t>
      </w:r>
      <w:r w:rsidR="00F532AC" w:rsidRPr="00F50228">
        <w:rPr>
          <w:rFonts w:ascii="Times New Roman" w:hAnsi="Times New Roman" w:cs="Times New Roman"/>
        </w:rPr>
        <w:t xml:space="preserve">riority </w:t>
      </w:r>
      <w:r w:rsidRPr="00F50228">
        <w:rPr>
          <w:rFonts w:ascii="Times New Roman" w:hAnsi="Times New Roman" w:cs="Times New Roman"/>
        </w:rPr>
        <w:t>consideration is</w:t>
      </w:r>
      <w:r w:rsidR="00F532AC" w:rsidRPr="00F50228">
        <w:rPr>
          <w:rFonts w:ascii="Times New Roman" w:hAnsi="Times New Roman" w:cs="Times New Roman"/>
        </w:rPr>
        <w:t xml:space="preserve"> given based on “impact zones,” or municipalities negatively impacted by unemployment, poverty or past </w:t>
      </w:r>
      <w:r w:rsidR="00F532AC" w:rsidRPr="00F50228">
        <w:rPr>
          <w:rFonts w:ascii="Times New Roman" w:hAnsi="Times New Roman" w:cs="Times New Roman"/>
        </w:rPr>
        <w:lastRenderedPageBreak/>
        <w:t>marijuana enforcement activity. To the extent possible, the CRC w</w:t>
      </w:r>
      <w:r w:rsidRPr="00F50228">
        <w:rPr>
          <w:rFonts w:ascii="Times New Roman" w:hAnsi="Times New Roman" w:cs="Times New Roman"/>
        </w:rPr>
        <w:t>ill</w:t>
      </w:r>
      <w:r w:rsidR="00F532AC" w:rsidRPr="00F50228">
        <w:rPr>
          <w:rFonts w:ascii="Times New Roman" w:hAnsi="Times New Roman" w:cs="Times New Roman"/>
        </w:rPr>
        <w:t xml:space="preserve"> grant at least 25% of the total licenses to such applicants or those who employ at least 25% of their employees from such zones.</w:t>
      </w:r>
    </w:p>
    <w:p w14:paraId="25B8639E" w14:textId="2D27E2BD" w:rsidR="00F532AC" w:rsidRPr="00F50228" w:rsidRDefault="0027584D" w:rsidP="00EA2EF2">
      <w:pPr>
        <w:pStyle w:val="ListParagraph"/>
        <w:numPr>
          <w:ilvl w:val="2"/>
          <w:numId w:val="1"/>
        </w:numPr>
        <w:rPr>
          <w:rFonts w:ascii="Times New Roman" w:hAnsi="Times New Roman" w:cs="Times New Roman"/>
        </w:rPr>
      </w:pPr>
      <w:r w:rsidRPr="00F50228">
        <w:rPr>
          <w:rFonts w:ascii="Times New Roman" w:hAnsi="Times New Roman" w:cs="Times New Roman"/>
        </w:rPr>
        <w:t>Ano</w:t>
      </w:r>
      <w:r w:rsidR="00F532AC" w:rsidRPr="00F50228">
        <w:rPr>
          <w:rFonts w:ascii="Times New Roman" w:hAnsi="Times New Roman" w:cs="Times New Roman"/>
        </w:rPr>
        <w:t>ther priority factor would include residents of at least five years who hold at least a 5% investment interest in an entity.</w:t>
      </w:r>
    </w:p>
    <w:p w14:paraId="07CBAFD3" w14:textId="77777777" w:rsidR="0094498B" w:rsidRPr="00F50228" w:rsidRDefault="0094498B" w:rsidP="0094498B">
      <w:pPr>
        <w:pStyle w:val="ListParagraph"/>
        <w:ind w:left="1440"/>
        <w:rPr>
          <w:rFonts w:ascii="Times New Roman" w:hAnsi="Times New Roman" w:cs="Times New Roman"/>
        </w:rPr>
      </w:pPr>
    </w:p>
    <w:p w14:paraId="05F2F24B" w14:textId="4B407A59" w:rsidR="00F532AC" w:rsidRPr="00F50228" w:rsidRDefault="00F532AC" w:rsidP="00F532AC">
      <w:pPr>
        <w:pStyle w:val="ListParagraph"/>
        <w:numPr>
          <w:ilvl w:val="0"/>
          <w:numId w:val="1"/>
        </w:numPr>
        <w:rPr>
          <w:rFonts w:ascii="Times New Roman" w:hAnsi="Times New Roman" w:cs="Times New Roman"/>
          <w:b/>
          <w:bCs/>
        </w:rPr>
      </w:pPr>
      <w:r w:rsidRPr="00F50228">
        <w:rPr>
          <w:rFonts w:ascii="Times New Roman" w:hAnsi="Times New Roman" w:cs="Times New Roman"/>
          <w:b/>
          <w:bCs/>
        </w:rPr>
        <w:t>Municipalities</w:t>
      </w:r>
    </w:p>
    <w:p w14:paraId="1B53C464" w14:textId="38886081" w:rsidR="0094498B" w:rsidRPr="00F50228" w:rsidRDefault="0094498B" w:rsidP="0094498B">
      <w:pPr>
        <w:numPr>
          <w:ilvl w:val="1"/>
          <w:numId w:val="1"/>
        </w:numPr>
        <w:spacing w:before="100" w:beforeAutospacing="1" w:after="100" w:afterAutospacing="1"/>
        <w:rPr>
          <w:rFonts w:ascii="Times New Roman" w:eastAsia="Times New Roman" w:hAnsi="Times New Roman" w:cs="Times New Roman"/>
        </w:rPr>
      </w:pPr>
      <w:r w:rsidRPr="001A6BCE">
        <w:rPr>
          <w:rFonts w:ascii="Times New Roman" w:eastAsia="Times New Roman" w:hAnsi="Times New Roman" w:cs="Times New Roman"/>
        </w:rPr>
        <w:t xml:space="preserve">Municipalities can prohibit </w:t>
      </w:r>
      <w:r w:rsidR="0027584D" w:rsidRPr="00F50228">
        <w:rPr>
          <w:rFonts w:ascii="Times New Roman" w:eastAsia="Times New Roman" w:hAnsi="Times New Roman" w:cs="Times New Roman"/>
        </w:rPr>
        <w:t xml:space="preserve">cannabis </w:t>
      </w:r>
      <w:r w:rsidRPr="001A6BCE">
        <w:rPr>
          <w:rFonts w:ascii="Times New Roman" w:eastAsia="Times New Roman" w:hAnsi="Times New Roman" w:cs="Times New Roman"/>
        </w:rPr>
        <w:t>businesses in their communities, but those that choose to allow them could collect a 2 percent tax and retain the revenue.</w:t>
      </w:r>
    </w:p>
    <w:p w14:paraId="15250666" w14:textId="62EB0735" w:rsidR="00F532AC" w:rsidRPr="00F50228" w:rsidRDefault="00F532AC" w:rsidP="00F532AC">
      <w:pPr>
        <w:pStyle w:val="ListParagraph"/>
        <w:numPr>
          <w:ilvl w:val="1"/>
          <w:numId w:val="1"/>
        </w:numPr>
        <w:rPr>
          <w:rFonts w:ascii="Times New Roman" w:hAnsi="Times New Roman" w:cs="Times New Roman"/>
        </w:rPr>
      </w:pPr>
      <w:r w:rsidRPr="00F50228">
        <w:rPr>
          <w:rFonts w:ascii="Times New Roman" w:hAnsi="Times New Roman" w:cs="Times New Roman"/>
        </w:rPr>
        <w:t>The bill make</w:t>
      </w:r>
      <w:r w:rsidR="0094498B" w:rsidRPr="00F50228">
        <w:rPr>
          <w:rFonts w:ascii="Times New Roman" w:hAnsi="Times New Roman" w:cs="Times New Roman"/>
        </w:rPr>
        <w:t>s</w:t>
      </w:r>
      <w:r w:rsidRPr="00F50228">
        <w:rPr>
          <w:rFonts w:ascii="Times New Roman" w:hAnsi="Times New Roman" w:cs="Times New Roman"/>
        </w:rPr>
        <w:t xml:space="preserve"> it more difficult for municipalities to prohibit marijuana operations</w:t>
      </w:r>
      <w:r w:rsidR="0094498B" w:rsidRPr="00F50228">
        <w:rPr>
          <w:rFonts w:ascii="Times New Roman" w:hAnsi="Times New Roman" w:cs="Times New Roman"/>
        </w:rPr>
        <w:t xml:space="preserve"> because a</w:t>
      </w:r>
      <w:r w:rsidRPr="00F50228">
        <w:rPr>
          <w:rFonts w:ascii="Times New Roman" w:hAnsi="Times New Roman" w:cs="Times New Roman"/>
        </w:rPr>
        <w:t>ll past prohibitions would be “null and void” and a municipality would have 180 days from the bill’s enactment to prohibit any class of adult-use operations but wouldn’t be able to ban delivery services to consumers in the area. Every municipality also would have the option to decide how many licensed businesses to permit.</w:t>
      </w:r>
    </w:p>
    <w:p w14:paraId="488A3910" w14:textId="1047CB3F" w:rsidR="00F532AC" w:rsidRPr="00732E01" w:rsidRDefault="00F532AC" w:rsidP="00732E01">
      <w:pPr>
        <w:rPr>
          <w:rFonts w:ascii="Times New Roman" w:hAnsi="Times New Roman" w:cs="Times New Roman"/>
        </w:rPr>
      </w:pPr>
      <w:r w:rsidRPr="00732E01">
        <w:rPr>
          <w:rFonts w:ascii="Times New Roman" w:hAnsi="Times New Roman" w:cs="Times New Roman"/>
        </w:rPr>
        <w:t>.</w:t>
      </w:r>
    </w:p>
    <w:p w14:paraId="0BD42EAF" w14:textId="77777777" w:rsidR="00F532AC" w:rsidRPr="00F50228" w:rsidRDefault="00F532AC" w:rsidP="00F532AC">
      <w:pPr>
        <w:pStyle w:val="ListParagraph"/>
        <w:ind w:left="1440"/>
        <w:rPr>
          <w:rFonts w:ascii="Times New Roman" w:hAnsi="Times New Roman" w:cs="Times New Roman"/>
        </w:rPr>
      </w:pPr>
      <w:bookmarkStart w:id="0" w:name="_GoBack"/>
      <w:bookmarkEnd w:id="0"/>
    </w:p>
    <w:p w14:paraId="659CF17E" w14:textId="09583E1B" w:rsidR="00936927" w:rsidRPr="00F50228" w:rsidRDefault="00936927" w:rsidP="00936927">
      <w:pPr>
        <w:pStyle w:val="ListParagraph"/>
        <w:numPr>
          <w:ilvl w:val="0"/>
          <w:numId w:val="1"/>
        </w:numPr>
        <w:rPr>
          <w:rFonts w:ascii="Times New Roman" w:hAnsi="Times New Roman" w:cs="Times New Roman"/>
          <w:b/>
          <w:bCs/>
        </w:rPr>
      </w:pPr>
      <w:r w:rsidRPr="00F50228">
        <w:rPr>
          <w:rFonts w:ascii="Times New Roman" w:hAnsi="Times New Roman" w:cs="Times New Roman"/>
          <w:b/>
          <w:bCs/>
        </w:rPr>
        <w:t>Employee/Employer</w:t>
      </w:r>
    </w:p>
    <w:p w14:paraId="121F4F68" w14:textId="4DF77D00" w:rsidR="00936927" w:rsidRPr="00F50228" w:rsidRDefault="00936927" w:rsidP="00936927">
      <w:pPr>
        <w:pStyle w:val="ListParagraph"/>
        <w:numPr>
          <w:ilvl w:val="1"/>
          <w:numId w:val="1"/>
        </w:numPr>
        <w:rPr>
          <w:rFonts w:ascii="Times New Roman" w:hAnsi="Times New Roman" w:cs="Times New Roman"/>
        </w:rPr>
      </w:pPr>
      <w:r w:rsidRPr="00F50228">
        <w:rPr>
          <w:rFonts w:ascii="Times New Roman" w:hAnsi="Times New Roman" w:cs="Times New Roman"/>
        </w:rPr>
        <w:t>The presence of cannabinoid metabolites in the body of a person engaged in permitted conduct outside of work, could not form the basis for refusal to employ or otherwise penalize that person, unless failing to do so would put the employer in violation of a federal contract or cause it to lose federal funding.</w:t>
      </w:r>
    </w:p>
    <w:p w14:paraId="22B52912" w14:textId="77777777" w:rsidR="00F50228" w:rsidRPr="00F50228" w:rsidRDefault="00936927" w:rsidP="00936927">
      <w:pPr>
        <w:pStyle w:val="ListParagraph"/>
        <w:numPr>
          <w:ilvl w:val="1"/>
          <w:numId w:val="1"/>
        </w:numPr>
        <w:rPr>
          <w:rFonts w:ascii="Times New Roman" w:hAnsi="Times New Roman" w:cs="Times New Roman"/>
        </w:rPr>
      </w:pPr>
      <w:r w:rsidRPr="00F50228">
        <w:rPr>
          <w:rFonts w:ascii="Times New Roman" w:hAnsi="Times New Roman" w:cs="Times New Roman"/>
        </w:rPr>
        <w:t>An employer would not be permitted to refuse to hire or employ a person, or discharge or take any adverse action against any employee with respect to compensation, terms, conditions, or other privileges of employment against because that employee does or does not use cannabis items</w:t>
      </w:r>
      <w:r w:rsidR="00F50228" w:rsidRPr="00F50228">
        <w:rPr>
          <w:rFonts w:ascii="Times New Roman" w:hAnsi="Times New Roman" w:cs="Times New Roman"/>
        </w:rPr>
        <w:t>, unless failing to do so would put the employer in violation of a federal contract or cause it to lose federal funding.</w:t>
      </w:r>
    </w:p>
    <w:p w14:paraId="56361163" w14:textId="6DED657D" w:rsidR="00936927" w:rsidRPr="00F50228" w:rsidRDefault="00F50228" w:rsidP="00F50228">
      <w:pPr>
        <w:pStyle w:val="ListParagraph"/>
        <w:numPr>
          <w:ilvl w:val="1"/>
          <w:numId w:val="1"/>
        </w:numPr>
        <w:rPr>
          <w:rFonts w:ascii="Times New Roman" w:hAnsi="Times New Roman" w:cs="Times New Roman"/>
        </w:rPr>
      </w:pPr>
      <w:r w:rsidRPr="00F50228">
        <w:rPr>
          <w:rFonts w:ascii="Times New Roman" w:hAnsi="Times New Roman" w:cs="Times New Roman"/>
        </w:rPr>
        <w:t>A</w:t>
      </w:r>
      <w:r w:rsidR="00936927" w:rsidRPr="00F50228">
        <w:rPr>
          <w:rFonts w:ascii="Times New Roman" w:hAnsi="Times New Roman" w:cs="Times New Roman"/>
        </w:rPr>
        <w:t>n employer may require the employee undergo a drug test upon any suspicion of an employee’s usage of a cannabis item while engaged in the performance of the employee’s work responsibilities, or upon finding any observable signs of intoxication related to usage of a cannabis item, or following a work-related accident subject to investigation by the employer, as well as random drug testing, by a Workplace Impairment Recognition Expert, and the employer may utilize the results of that drug test when determining the appropriate employment action concerning the employee, including, but not limited to dismissal, suspension, demotion, or other disciplinary action.</w:t>
      </w:r>
    </w:p>
    <w:p w14:paraId="21F52364" w14:textId="3FF994A2" w:rsidR="00F532AC" w:rsidRPr="00F50228" w:rsidRDefault="00F532AC" w:rsidP="00F50228">
      <w:pPr>
        <w:pStyle w:val="ListParagraph"/>
        <w:numPr>
          <w:ilvl w:val="1"/>
          <w:numId w:val="1"/>
        </w:numPr>
        <w:rPr>
          <w:rFonts w:ascii="Times New Roman" w:eastAsia="Times New Roman" w:hAnsi="Times New Roman" w:cs="Times New Roman"/>
        </w:rPr>
      </w:pPr>
      <w:r w:rsidRPr="00F50228">
        <w:rPr>
          <w:rFonts w:ascii="Times New Roman" w:eastAsia="Times New Roman" w:hAnsi="Times New Roman" w:cs="Times New Roman"/>
        </w:rPr>
        <w:t>Drug tests would need to be done alongside a physical examination done by a person specifically trained to recognize cannabis us</w:t>
      </w:r>
      <w:r w:rsidR="00F50228" w:rsidRPr="00F50228">
        <w:rPr>
          <w:rFonts w:ascii="Times New Roman" w:eastAsia="Times New Roman" w:hAnsi="Times New Roman" w:cs="Times New Roman"/>
        </w:rPr>
        <w:t>e</w:t>
      </w:r>
      <w:proofErr w:type="gramStart"/>
      <w:r w:rsidR="00F50228" w:rsidRPr="00F50228">
        <w:rPr>
          <w:rFonts w:ascii="Times New Roman" w:eastAsia="Times New Roman" w:hAnsi="Times New Roman" w:cs="Times New Roman"/>
        </w:rPr>
        <w:t>.</w:t>
      </w:r>
      <w:r w:rsidRPr="00F50228">
        <w:rPr>
          <w:rFonts w:ascii="Times New Roman" w:eastAsia="Times New Roman" w:hAnsi="Times New Roman" w:cs="Times New Roman"/>
        </w:rPr>
        <w:t>.</w:t>
      </w:r>
      <w:proofErr w:type="gramEnd"/>
    </w:p>
    <w:p w14:paraId="758F0BBD" w14:textId="77777777" w:rsidR="00936927" w:rsidRPr="00F50228" w:rsidRDefault="00936927" w:rsidP="00936927">
      <w:pPr>
        <w:pStyle w:val="ListParagraph"/>
        <w:ind w:left="1440"/>
        <w:rPr>
          <w:rFonts w:ascii="Times New Roman" w:hAnsi="Times New Roman" w:cs="Times New Roman"/>
        </w:rPr>
      </w:pPr>
    </w:p>
    <w:sectPr w:rsidR="00936927" w:rsidRPr="00F50228" w:rsidSect="00990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7432C"/>
    <w:multiLevelType w:val="multilevel"/>
    <w:tmpl w:val="59E2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C07A5"/>
    <w:multiLevelType w:val="hybridMultilevel"/>
    <w:tmpl w:val="AF886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36732"/>
    <w:multiLevelType w:val="hybridMultilevel"/>
    <w:tmpl w:val="74F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27"/>
    <w:rsid w:val="000D620B"/>
    <w:rsid w:val="0027584D"/>
    <w:rsid w:val="00395EB6"/>
    <w:rsid w:val="00480772"/>
    <w:rsid w:val="004E498D"/>
    <w:rsid w:val="00732E01"/>
    <w:rsid w:val="00936927"/>
    <w:rsid w:val="0094498B"/>
    <w:rsid w:val="009566FE"/>
    <w:rsid w:val="00990E11"/>
    <w:rsid w:val="009F6EA4"/>
    <w:rsid w:val="00A26C0D"/>
    <w:rsid w:val="00B57128"/>
    <w:rsid w:val="00CB5CE7"/>
    <w:rsid w:val="00D2791C"/>
    <w:rsid w:val="00E7391B"/>
    <w:rsid w:val="00EA2EF2"/>
    <w:rsid w:val="00F30AC8"/>
    <w:rsid w:val="00F50228"/>
    <w:rsid w:val="00F5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DAA4"/>
  <w14:defaultImageDpi w14:val="32767"/>
  <w15:chartTrackingRefBased/>
  <w15:docId w15:val="{84FCA0DD-31B4-6B4E-881F-1762E97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jleg.state.nj.us/2020/Bills/S0500/21_R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justmystyle221@gmail.com</dc:creator>
  <cp:keywords/>
  <dc:description/>
  <cp:lastModifiedBy>Sheila M. Mints</cp:lastModifiedBy>
  <cp:revision>3</cp:revision>
  <dcterms:created xsi:type="dcterms:W3CDTF">2020-12-18T15:32:00Z</dcterms:created>
  <dcterms:modified xsi:type="dcterms:W3CDTF">2020-12-18T15:33:00Z</dcterms:modified>
</cp:coreProperties>
</file>